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E5" w:rsidRPr="00B139E5" w:rsidRDefault="00B139E5" w:rsidP="00B139E5">
      <w:pPr>
        <w:pStyle w:val="Heading1"/>
        <w:jc w:val="center"/>
      </w:pPr>
      <w:r>
        <w:br/>
      </w:r>
      <w:r w:rsidRPr="00B139E5">
        <w:t>QUALITY &amp; RELIABILITY Α.Β.Ε.Ε. - ΑΝΑΚΟΙΝΩΣΗ ΡΥΘΜΙΖΟΜΕΝΗΣ ΠΛΗΡΟΦΟΡΙΑΣ ΤΟΥ Ν. 3556/2007: Γνωστοποίηση συναλλαγών</w:t>
      </w:r>
    </w:p>
    <w:p w:rsidR="00B139E5" w:rsidRPr="00B139E5" w:rsidRDefault="00B139E5" w:rsidP="00B13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39E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20/12/2019 πώληση 23.300 κοινών ονομαστικών μετοχών της εταιρείας μας. Η συνολική αξία της συναλλαγής ανήλθε σε 4.110,85 ευρώ</w:t>
      </w:r>
    </w:p>
    <w:p w:rsidR="00DC186F" w:rsidRDefault="00DC186F" w:rsidP="00B139E5">
      <w:pPr>
        <w:jc w:val="both"/>
      </w:pPr>
    </w:p>
    <w:sectPr w:rsidR="00DC186F" w:rsidSect="00DC186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521E"/>
    <w:multiLevelType w:val="multilevel"/>
    <w:tmpl w:val="974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139E5"/>
    <w:rsid w:val="00B139E5"/>
    <w:rsid w:val="00DC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6F"/>
  </w:style>
  <w:style w:type="paragraph" w:styleId="Heading1">
    <w:name w:val="heading 1"/>
    <w:basedOn w:val="Normal"/>
    <w:link w:val="Heading1Char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139E5"/>
    <w:rPr>
      <w:b/>
      <w:bCs/>
    </w:rPr>
  </w:style>
  <w:style w:type="character" w:customStyle="1" w:styleId="time">
    <w:name w:val="time"/>
    <w:basedOn w:val="DefaultParagraphFont"/>
    <w:rsid w:val="00B139E5"/>
  </w:style>
  <w:style w:type="paragraph" w:styleId="NormalWeb">
    <w:name w:val="Normal (Web)"/>
    <w:basedOn w:val="Normal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3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2020-01-10T08:43:00Z</dcterms:created>
  <dcterms:modified xsi:type="dcterms:W3CDTF">2020-01-10T08:46:00Z</dcterms:modified>
</cp:coreProperties>
</file>